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before="480"/>
        <w:jc w:val="center"/>
      </w:pPr>
      <w:r>
        <w:rPr>
          <w:rFonts w:ascii="Arial" w:cs="Arial" w:eastAsia="Arial" w:hAnsi="Arial"/>
          <w:b/>
          <w:bCs/>
          <w:color w:val="1A3A5C"/>
          <w:sz w:val="48"/>
          <w:szCs w:val="48"/>
        </w:rPr>
        <w:t xml:space="preserve">Using AI to Better Effect</w:t>
      </w:r>
    </w:p>
    <w:p>
      <w:pPr>
        <w:spacing w:after="120"/>
        <w:jc w:val="center"/>
      </w:pPr>
      <w:r>
        <w:rPr>
          <w:rFonts w:ascii="Georgia" w:cs="Georgia" w:eastAsia="Georgia" w:hAnsi="Georgia"/>
          <w:i/>
          <w:iCs/>
          <w:color w:val="555555"/>
          <w:sz w:val="26"/>
          <w:szCs w:val="26"/>
        </w:rPr>
        <w:t xml:space="preserve">A practical framework for more deliberate AI engagement</w:t>
      </w:r>
    </w:p>
    <w:p>
      <w:pPr>
        <w:spacing w:after="480"/>
        <w:jc w:val="center"/>
      </w:pPr>
      <w:r>
        <w:rPr>
          <w:rFonts w:ascii="Arial" w:cs="Arial" w:eastAsia="Arial" w:hAnsi="Arial"/>
          <w:color w:val="888888"/>
          <w:sz w:val="20"/>
          <w:szCs w:val="20"/>
        </w:rPr>
        <w:t xml:space="preserve">Dynes Insights  |  dynes-insights.com</w:t>
      </w:r>
    </w:p>
    <w:p>
      <w:pPr>
        <w:pBdr>
          <w:bottom w:val="single" w:color="CCCCCC" w:sz="4" w:space="1"/>
        </w:pBdr>
        <w:spacing w:after="240" w:before="240"/>
      </w:pPr>
    </w:p>
    <w:p>
      <w:pPr>
        <w:pStyle w:val="Heading1"/>
        <w:spacing w:after="160" w:before="480"/>
      </w:pPr>
      <w:r>
        <w:rPr>
          <w:rFonts w:ascii="Arial" w:cs="Arial" w:eastAsia="Arial" w:hAnsi="Arial"/>
          <w:b/>
          <w:bCs/>
          <w:color w:val="1A3A5C"/>
          <w:sz w:val="32"/>
          <w:szCs w:val="32"/>
        </w:rPr>
        <w:t xml:space="preserve">Introduction</w:t>
      </w:r>
    </w:p>
    <w:p>
      <w:pPr>
        <w:spacing w:after="160"/>
      </w:pPr>
      <w:r>
        <w:rPr>
          <w:rFonts w:ascii="Georgia" w:cs="Georgia" w:eastAsia="Georgia" w:hAnsi="Georgia"/>
          <w:sz w:val="22"/>
          <w:szCs w:val="22"/>
        </w:rPr>
        <w:t xml:space="preserve">Most people who use AI tools regularly will tell you they find them useful. Ask them what they use them for and the answers cluster in a predictable place: drafting emails, summarising documents, generating ideas, getting quick answers. Useful, certainly. But if that is where the engagement stops, a significant amount of what these tools are capable of is going untouched.</w:t>
      </w:r>
    </w:p>
    <w:p>
      <w:pPr>
        <w:spacing w:after="160"/>
      </w:pPr>
      <w:r>
        <w:rPr>
          <w:rFonts w:ascii="Georgia" w:cs="Georgia" w:eastAsia="Georgia" w:hAnsi="Georgia"/>
          <w:sz w:val="22"/>
          <w:szCs w:val="22"/>
        </w:rPr>
        <w:t xml:space="preserve">The gap between using AI and using it well is not about which tool you choose. It is about how deliberately you engage with it. This resource covers three interconnected areas that together constitute a more deliberate approach.</w:t>
      </w:r>
    </w:p>
    <w:p>
      <w:pPr>
        <w:spacing w:after="160"/>
      </w:pPr>
      <w:r>
        <w:rPr>
          <w:rFonts w:ascii="Georgia" w:cs="Georgia" w:eastAsia="Georgia" w:hAnsi="Georgia"/>
          <w:sz w:val="22"/>
          <w:szCs w:val="22"/>
        </w:rPr>
        <w:t xml:space="preserve">The first is the prompting framework: the structural approach to constructing a prompt that produces a genuinely useful response rather than a plausible-sounding one. The second is the three-stage engagement model: a way of thinking about the full arc of a productive AI conversation, not just the opening prompt. The third is the cognitive dimension: three established frameworks that reveal the quality of thinking happening within your AI interactions, and what develops when you work on it deliberately.</w:t>
      </w:r>
    </w:p>
    <w:p>
      <w:pPr>
        <w:pBdr>
          <w:bottom w:val="single" w:color="CCCCCC" w:sz="4" w:space="1"/>
        </w:pBdr>
        <w:spacing w:after="240" w:before="240"/>
      </w:pPr>
    </w:p>
    <w:p>
      <w:pPr>
        <w:pStyle w:val="Heading1"/>
        <w:spacing w:after="160" w:before="480"/>
      </w:pPr>
      <w:r>
        <w:rPr>
          <w:rFonts w:ascii="Arial" w:cs="Arial" w:eastAsia="Arial" w:hAnsi="Arial"/>
          <w:b/>
          <w:bCs/>
          <w:color w:val="1A3A5C"/>
          <w:sz w:val="32"/>
          <w:szCs w:val="32"/>
        </w:rPr>
        <w:t xml:space="preserve">Section 1: The Prompting Framework</w:t>
      </w:r>
    </w:p>
    <w:p>
      <w:pPr>
        <w:spacing w:after="160"/>
      </w:pPr>
      <w:r>
        <w:rPr>
          <w:rFonts w:ascii="Georgia" w:cs="Georgia" w:eastAsia="Georgia" w:hAnsi="Georgia"/>
          <w:sz w:val="22"/>
          <w:szCs w:val="22"/>
        </w:rPr>
        <w:t xml:space="preserve">Most AI outputs are only as good as the prompt that produced them. A vague prompt produces a vague response. A well-structured prompt gives the AI enough to work with and enough constraint to stay on target.</w:t>
      </w:r>
    </w:p>
    <w:p>
      <w:pPr>
        <w:spacing w:after="160"/>
      </w:pPr>
      <w:r>
        <w:rPr>
          <w:rFonts w:ascii="Georgia" w:cs="Georgia" w:eastAsia="Georgia" w:hAnsi="Georgia"/>
          <w:sz w:val="22"/>
          <w:szCs w:val="22"/>
        </w:rPr>
        <w:t xml:space="preserve">Six elements provide a reliable structure. You do not need all six every time. A quick factual question needs none of them. A complex analytical task benefits from most of them. The skill is knowing which elements matter most for the task you are doing.</w:t>
      </w:r>
    </w:p>
    <w:p>
      <w:pPr>
        <w:spacing w:after="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3480"/>
        <w:gridCol w:w="4080"/>
      </w:tblGrid>
      <w:tr>
        <w:trPr>
          <w:tblHeader/>
        </w:trPr>
        <w:tc>
          <w:tcPr>
            <w:tcW w:type="dxa" w:w="1800"/>
            <w:tcBorders>
              <w:top w:val="single" w:color="CCCCCC" w:sz="1"/>
              <w:left w:val="single" w:color="CCCCCC" w:sz="1"/>
              <w:bottom w:val="single" w:color="CCCCCC" w:sz="1"/>
              <w:right w:val="single" w:color="CCCCCC" w:sz="1"/>
            </w:tcBorders>
            <w:shd w:fill="1A3A5C" w:val="clear"/>
            <w:tcMar>
              <w:top w:type="dxa" w:w="80"/>
              <w:left w:type="dxa" w:w="120"/>
              <w:bottom w:type="dxa" w:w="80"/>
              <w:right w:type="dxa" w:w="120"/>
            </w:tcMar>
          </w:tcPr>
          <w:p>
            <w:r>
              <w:rPr>
                <w:rFonts w:ascii="Arial" w:cs="Arial" w:eastAsia="Arial" w:hAnsi="Arial"/>
                <w:b/>
                <w:bCs/>
                <w:color w:val="FFFFFF"/>
                <w:sz w:val="20"/>
                <w:szCs w:val="20"/>
              </w:rPr>
              <w:t xml:space="preserve">Element</w:t>
            </w:r>
          </w:p>
        </w:tc>
        <w:tc>
          <w:tcPr>
            <w:tcW w:type="dxa" w:w="3480"/>
            <w:tcBorders>
              <w:top w:val="single" w:color="CCCCCC" w:sz="1"/>
              <w:left w:val="single" w:color="CCCCCC" w:sz="1"/>
              <w:bottom w:val="single" w:color="CCCCCC" w:sz="1"/>
              <w:right w:val="single" w:color="CCCCCC" w:sz="1"/>
            </w:tcBorders>
            <w:shd w:fill="1A3A5C" w:val="clear"/>
            <w:tcMar>
              <w:top w:type="dxa" w:w="80"/>
              <w:left w:type="dxa" w:w="120"/>
              <w:bottom w:type="dxa" w:w="80"/>
              <w:right w:type="dxa" w:w="120"/>
            </w:tcMar>
          </w:tcPr>
          <w:p>
            <w:r>
              <w:rPr>
                <w:rFonts w:ascii="Arial" w:cs="Arial" w:eastAsia="Arial" w:hAnsi="Arial"/>
                <w:b/>
                <w:bCs/>
                <w:color w:val="FFFFFF"/>
                <w:sz w:val="20"/>
                <w:szCs w:val="20"/>
              </w:rPr>
              <w:t xml:space="preserve">What it does</w:t>
            </w:r>
          </w:p>
        </w:tc>
        <w:tc>
          <w:tcPr>
            <w:tcW w:type="dxa" w:w="4080"/>
            <w:tcBorders>
              <w:top w:val="single" w:color="CCCCCC" w:sz="1"/>
              <w:left w:val="single" w:color="CCCCCC" w:sz="1"/>
              <w:bottom w:val="single" w:color="CCCCCC" w:sz="1"/>
              <w:right w:val="single" w:color="CCCCCC" w:sz="1"/>
            </w:tcBorders>
            <w:shd w:fill="1A3A5C" w:val="clear"/>
            <w:tcMar>
              <w:top w:type="dxa" w:w="80"/>
              <w:left w:type="dxa" w:w="120"/>
              <w:bottom w:type="dxa" w:w="80"/>
              <w:right w:type="dxa" w:w="120"/>
            </w:tcMar>
          </w:tcPr>
          <w:p>
            <w:r>
              <w:rPr>
                <w:rFonts w:ascii="Arial" w:cs="Arial" w:eastAsia="Arial" w:hAnsi="Arial"/>
                <w:b/>
                <w:bCs/>
                <w:color w:val="FFFFFF"/>
                <w:sz w:val="20"/>
                <w:szCs w:val="20"/>
              </w:rPr>
              <w:t xml:space="preserve">Example</w:t>
            </w:r>
          </w:p>
        </w:tc>
      </w:tr>
      <w:tr>
        <w:tc>
          <w:tcPr>
            <w:tcW w:type="dxa" w:w="180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Role</w:t>
            </w:r>
          </w:p>
        </w:tc>
        <w:tc>
          <w:tcPr>
            <w:tcW w:type="dxa" w:w="348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Shapes the lens the AI responds through</w:t>
            </w:r>
          </w:p>
        </w:tc>
        <w:tc>
          <w:tcPr>
            <w:tcW w:type="dxa" w:w="408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You are an executive coach with expertise in conflict resolution</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Context</w:t>
            </w:r>
          </w:p>
        </w:tc>
        <w:tc>
          <w:tcPr>
            <w:tcW w:type="dxa" w:w="34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Provides background, goals, or the challenge you are navigating</w:t>
            </w:r>
          </w:p>
        </w:tc>
        <w:tc>
          <w:tcPr>
            <w:tcW w:type="dxa" w:w="40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I am preparing for a meeting with two colleagues disagreeing over project priorities</w:t>
            </w:r>
          </w:p>
        </w:tc>
      </w:tr>
      <w:tr>
        <w:tc>
          <w:tcPr>
            <w:tcW w:type="dxa" w:w="180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Request</w:t>
            </w:r>
          </w:p>
        </w:tc>
        <w:tc>
          <w:tcPr>
            <w:tcW w:type="dxa" w:w="348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States precisely what you need from the AI</w:t>
            </w:r>
          </w:p>
        </w:tc>
        <w:tc>
          <w:tcPr>
            <w:tcW w:type="dxa" w:w="408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Give me a five-step plan for opening the meeting and closing with an agreed way forward</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Constraints</w:t>
            </w:r>
          </w:p>
        </w:tc>
        <w:tc>
          <w:tcPr>
            <w:tcW w:type="dxa" w:w="34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Sets boundaries for the output</w:t>
            </w:r>
          </w:p>
        </w:tc>
        <w:tc>
          <w:tcPr>
            <w:tcW w:type="dxa" w:w="40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Under 400 words, professional tone, UK English</w:t>
            </w:r>
          </w:p>
        </w:tc>
      </w:tr>
      <w:tr>
        <w:tc>
          <w:tcPr>
            <w:tcW w:type="dxa" w:w="180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Format</w:t>
            </w:r>
          </w:p>
        </w:tc>
        <w:tc>
          <w:tcPr>
            <w:tcW w:type="dxa" w:w="348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Defines how you want the response structured</w:t>
            </w:r>
          </w:p>
        </w:tc>
        <w:tc>
          <w:tcPr>
            <w:tcW w:type="dxa" w:w="408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Numbered list with brief explanations</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Confirmation</w:t>
            </w:r>
          </w:p>
        </w:tc>
        <w:tc>
          <w:tcPr>
            <w:tcW w:type="dxa" w:w="34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Asks the AI to flag anything missing before it starts</w:t>
            </w:r>
          </w:p>
        </w:tc>
        <w:tc>
          <w:tcPr>
            <w:tcW w:type="dxa" w:w="40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If I have missed something important, tell me before you answer</w:t>
            </w:r>
          </w:p>
        </w:tc>
      </w:tr>
    </w:tbl>
    <w:p>
      <w:pPr>
        <w:spacing w:after="200"/>
      </w:pPr>
    </w:p>
    <w:p>
      <w:pPr>
        <w:pBdr>
          <w:top w:val="single" w:color="2E6DA4" w:sz="4" w:space="1"/>
          <w:bottom w:val="single" w:color="2E6DA4" w:sz="4" w:space="1"/>
          <w:left w:val="single" w:color="2E6DA4" w:sz="12" w:space="4"/>
          <w:right w:val="none" w:color="FFFFFF" w:sz="0" w:space="0"/>
        </w:pBdr>
        <w:shd w:fill="EEF4FB" w:val="clear"/>
        <w:spacing w:after="200" w:before="160"/>
        <w:ind w:left="200"/>
      </w:pPr>
      <w:r>
        <w:rPr>
          <w:rFonts w:ascii="Georgia" w:cs="Georgia" w:eastAsia="Georgia" w:hAnsi="Georgia"/>
          <w:i/>
          <w:iCs/>
          <w:color w:val="1A3A5C"/>
          <w:sz w:val="22"/>
          <w:szCs w:val="22"/>
        </w:rPr>
        <w:t xml:space="preserve">The more elements you include, the sharper the response. Use iteration: ask the AI to simplify, expand, or reframe once you have a first response. Treat the AI as a thinking partner, not just an answer machine.</w:t>
      </w:r>
    </w:p>
    <w:p>
      <w:pPr>
        <w:spacing w:after="160"/>
      </w:pPr>
      <w:r>
        <w:rPr>
          <w:rFonts w:ascii="Georgia" w:cs="Georgia" w:eastAsia="Georgia" w:hAnsi="Georgia"/>
          <w:sz w:val="22"/>
          <w:szCs w:val="22"/>
        </w:rPr>
        <w:t xml:space="preserve">Two pitfalls are worth knowing about. The first is jumping straight to the request without setting role or context, which produces generic responses that feel plausible but do not engage your actual situation. The second is conflicting constraints, asking for something short but detailed, or professional but informal, which produces muddled results because the AI has no way to resolve the contradiction.</w:t>
      </w:r>
    </w:p>
    <w:p>
      <w:pPr>
        <w:pBdr>
          <w:bottom w:val="single" w:color="CCCCCC" w:sz="4" w:space="1"/>
        </w:pBdr>
        <w:spacing w:after="240" w:before="240"/>
      </w:pPr>
    </w:p>
    <w:p>
      <w:pPr>
        <w:pStyle w:val="Heading1"/>
        <w:spacing w:after="160" w:before="480"/>
      </w:pPr>
      <w:r>
        <w:rPr>
          <w:rFonts w:ascii="Arial" w:cs="Arial" w:eastAsia="Arial" w:hAnsi="Arial"/>
          <w:b/>
          <w:bCs/>
          <w:color w:val="1A3A5C"/>
          <w:sz w:val="32"/>
          <w:szCs w:val="32"/>
        </w:rPr>
        <w:t xml:space="preserve">Section 2: The Three-Stage Engagement Model</w:t>
      </w:r>
    </w:p>
    <w:p>
      <w:pPr>
        <w:spacing w:after="160"/>
      </w:pPr>
      <w:r>
        <w:rPr>
          <w:rFonts w:ascii="Georgia" w:cs="Georgia" w:eastAsia="Georgia" w:hAnsi="Georgia"/>
          <w:sz w:val="22"/>
          <w:szCs w:val="22"/>
        </w:rPr>
        <w:t xml:space="preserve">A prompt is the starting point, not the complete picture. How you engage throughout a conversation shapes what you get out of it. Productive AI engagement tends to follow three stages, and moving deliberately through all three produces significantly better outcomes than stopping at the first.</w:t>
      </w:r>
    </w:p>
    <w:p>
      <w:pPr>
        <w:pStyle w:val="Heading2"/>
        <w:spacing w:after="120" w:before="320"/>
      </w:pPr>
      <w:r>
        <w:rPr>
          <w:rFonts w:ascii="Arial" w:cs="Arial" w:eastAsia="Arial" w:hAnsi="Arial"/>
          <w:b/>
          <w:bCs/>
          <w:color w:val="1A3A5C"/>
          <w:sz w:val="26"/>
          <w:szCs w:val="26"/>
        </w:rPr>
        <w:t xml:space="preserve">Stage 1: Collaborative Development</w:t>
      </w:r>
    </w:p>
    <w:p>
      <w:pPr>
        <w:spacing w:after="160"/>
      </w:pPr>
      <w:r>
        <w:rPr>
          <w:rFonts w:ascii="Georgia" w:cs="Georgia" w:eastAsia="Georgia" w:hAnsi="Georgia"/>
          <w:sz w:val="22"/>
          <w:szCs w:val="22"/>
        </w:rPr>
        <w:t xml:space="preserve">The first stage is exploratory. You are using the AI as a thinking partner: developing ideas, refining a position, testing reasoning, generating options. The AI's job here is to push your thinking forward, not simply to confirm what you already believe.</w:t>
      </w:r>
    </w:p>
    <w:p>
      <w:pPr>
        <w:spacing w:after="160"/>
      </w:pPr>
      <w:r>
        <w:rPr>
          <w:rFonts w:ascii="Georgia" w:cs="Georgia" w:eastAsia="Georgia" w:hAnsi="Georgia"/>
          <w:sz w:val="22"/>
          <w:szCs w:val="22"/>
        </w:rPr>
        <w:t xml:space="preserve">This is the stage most people reach. It produces good results when the task is primarily generative. It is insufficient when the task requires genuine critical challenge, or when you need to be confident that what you have produced is genuinely sound rather than just well-expressed.</w:t>
      </w:r>
    </w:p>
    <w:p>
      <w:pPr>
        <w:pStyle w:val="Heading2"/>
        <w:spacing w:after="120" w:before="320"/>
      </w:pPr>
      <w:r>
        <w:rPr>
          <w:rFonts w:ascii="Arial" w:cs="Arial" w:eastAsia="Arial" w:hAnsi="Arial"/>
          <w:b/>
          <w:bCs/>
          <w:color w:val="1A3A5C"/>
          <w:sz w:val="26"/>
          <w:szCs w:val="26"/>
        </w:rPr>
        <w:t xml:space="preserve">Stage 2: Evaluative Challenge</w:t>
      </w:r>
    </w:p>
    <w:p>
      <w:pPr>
        <w:spacing w:after="160"/>
      </w:pPr>
      <w:r>
        <w:rPr>
          <w:rFonts w:ascii="Georgia" w:cs="Georgia" w:eastAsia="Georgia" w:hAnsi="Georgia"/>
          <w:sz w:val="22"/>
          <w:szCs w:val="22"/>
        </w:rPr>
        <w:t xml:space="preserve">The second stage is deliberately harder. Once you have a developed position, a draft document, or a proposed approach, you bring something more demanding to it. Rather than asking the AI to refine what you have, you ask it to find what is wrong with it.</w:t>
      </w:r>
    </w:p>
    <w:p>
      <w:pPr>
        <w:spacing w:after="160"/>
      </w:pPr>
      <w:r>
        <w:rPr>
          <w:rFonts w:ascii="Georgia" w:cs="Georgia" w:eastAsia="Georgia" w:hAnsi="Georgia"/>
          <w:sz w:val="22"/>
          <w:szCs w:val="22"/>
        </w:rPr>
        <w:t xml:space="preserve">This means asking it to identify the assumptions you have not examined, the evidence that does not hold up, the conclusions you have softened because they were uncomfortable. A well-constructed challenge prompt removes the AI's instinct to be agreeable and replaces it with an instruction to be honest.</w:t>
      </w:r>
    </w:p>
    <w:p>
      <w:pPr>
        <w:pBdr>
          <w:top w:val="single" w:color="2E6DA4" w:sz="4" w:space="1"/>
          <w:bottom w:val="single" w:color="2E6DA4" w:sz="4" w:space="1"/>
          <w:left w:val="single" w:color="2E6DA4" w:sz="12" w:space="4"/>
          <w:right w:val="none" w:color="FFFFFF" w:sz="0" w:space="0"/>
        </w:pBdr>
        <w:shd w:fill="EEF4FB" w:val="clear"/>
        <w:spacing w:after="200" w:before="160"/>
        <w:ind w:left="200"/>
      </w:pPr>
      <w:r>
        <w:rPr>
          <w:rFonts w:ascii="Georgia" w:cs="Georgia" w:eastAsia="Georgia" w:hAnsi="Georgia"/>
          <w:i/>
          <w:iCs/>
          <w:color w:val="1A3A5C"/>
          <w:sz w:val="22"/>
          <w:szCs w:val="22"/>
        </w:rPr>
        <w:t xml:space="preserve">First drafts that look good enough often become final drafts not because they are good enough, but because time is short. The second stage is the discipline that prevents that from happening.</w:t>
      </w:r>
    </w:p>
    <w:p>
      <w:pPr>
        <w:pStyle w:val="Heading2"/>
        <w:spacing w:after="120" w:before="320"/>
      </w:pPr>
      <w:r>
        <w:rPr>
          <w:rFonts w:ascii="Arial" w:cs="Arial" w:eastAsia="Arial" w:hAnsi="Arial"/>
          <w:b/>
          <w:bCs/>
          <w:color w:val="1A3A5C"/>
          <w:sz w:val="26"/>
          <w:szCs w:val="26"/>
        </w:rPr>
        <w:t xml:space="preserve">Stage 3: Reflective Review</w:t>
      </w:r>
    </w:p>
    <w:p>
      <w:pPr>
        <w:spacing w:after="160"/>
      </w:pPr>
      <w:r>
        <w:rPr>
          <w:rFonts w:ascii="Georgia" w:cs="Georgia" w:eastAsia="Georgia" w:hAnsi="Georgia"/>
          <w:sz w:val="22"/>
          <w:szCs w:val="22"/>
        </w:rPr>
        <w:t xml:space="preserve">The third stage steps back from the content to look at the conversation itself. What does the quality of the engagement tell you about how you are using these tools? Where were the prompts strong? Where did the conversation drift because the brief was insufficiently clear? What would you do differently?</w:t>
      </w:r>
    </w:p>
    <w:p>
      <w:pPr>
        <w:spacing w:after="160"/>
      </w:pPr>
      <w:r>
        <w:rPr>
          <w:rFonts w:ascii="Georgia" w:cs="Georgia" w:eastAsia="Georgia" w:hAnsi="Georgia"/>
          <w:sz w:val="22"/>
          <w:szCs w:val="22"/>
        </w:rPr>
        <w:t xml:space="preserve">This stage is the one most consistently skipped, and it is where most of the development value sits. Outputs improve through iteration. Practice improves through reflection. The third stage is what turns an AI conversation from a one-off output into a learning event.</w:t>
      </w:r>
    </w:p>
    <w:p>
      <w:pPr>
        <w:pStyle w:val="Heading2"/>
        <w:spacing w:after="120" w:before="320"/>
      </w:pPr>
      <w:r>
        <w:rPr>
          <w:rFonts w:ascii="Arial" w:cs="Arial" w:eastAsia="Arial" w:hAnsi="Arial"/>
          <w:b/>
          <w:bCs/>
          <w:color w:val="1A3A5C"/>
          <w:sz w:val="26"/>
          <w:szCs w:val="26"/>
        </w:rPr>
        <w:t xml:space="preserve">When to use the full model</w:t>
      </w:r>
    </w:p>
    <w:p>
      <w:pPr>
        <w:spacing w:after="160"/>
      </w:pPr>
      <w:r>
        <w:rPr>
          <w:rFonts w:ascii="Georgia" w:cs="Georgia" w:eastAsia="Georgia" w:hAnsi="Georgia"/>
          <w:sz w:val="22"/>
          <w:szCs w:val="22"/>
        </w:rPr>
        <w:t xml:space="preserve">The full three-stage protocol earns its place when decisions carry real consequences, when assumptions are largely untested, when multiple stakeholders with competing interests are involved, or when the outcome will set a precedent. For information retrieval, routine drafting, or tasks where the criteria are clear and stakes are low, simpler interactions are appropriate and the full model would be disproportionate.</w:t>
      </w:r>
    </w:p>
    <w:p>
      <w:pPr>
        <w:pBdr>
          <w:bottom w:val="single" w:color="CCCCCC" w:sz="4" w:space="1"/>
        </w:pBdr>
        <w:spacing w:after="240" w:before="240"/>
      </w:pPr>
    </w:p>
    <w:p>
      <w:pPr>
        <w:pStyle w:val="Heading1"/>
        <w:spacing w:after="160" w:before="480"/>
      </w:pPr>
      <w:r>
        <w:rPr>
          <w:rFonts w:ascii="Arial" w:cs="Arial" w:eastAsia="Arial" w:hAnsi="Arial"/>
          <w:b/>
          <w:bCs/>
          <w:color w:val="1A3A5C"/>
          <w:sz w:val="32"/>
          <w:szCs w:val="32"/>
        </w:rPr>
        <w:t xml:space="preserve">Section 3: The Cognitive Dimension</w:t>
      </w:r>
    </w:p>
    <w:p>
      <w:pPr>
        <w:spacing w:after="160"/>
      </w:pPr>
      <w:r>
        <w:rPr>
          <w:rFonts w:ascii="Georgia" w:cs="Georgia" w:eastAsia="Georgia" w:hAnsi="Georgia"/>
          <w:sz w:val="22"/>
          <w:szCs w:val="22"/>
        </w:rPr>
        <w:t xml:space="preserve">Three frameworks from education and psychology help explain why AI engagement quality varies so significantly between individuals, even when they are using the same tools and the same prompting approaches. Together, they provide a diagnostic picture of where development effort is most needed.</w:t>
      </w:r>
    </w:p>
    <w:p>
      <w:pPr>
        <w:pStyle w:val="Heading2"/>
        <w:spacing w:after="120" w:before="320"/>
      </w:pPr>
      <w:r>
        <w:rPr>
          <w:rFonts w:ascii="Arial" w:cs="Arial" w:eastAsia="Arial" w:hAnsi="Arial"/>
          <w:b/>
          <w:bCs/>
          <w:color w:val="1A3A5C"/>
          <w:sz w:val="26"/>
          <w:szCs w:val="26"/>
        </w:rPr>
        <w:t xml:space="preserve">Bloom's Taxonomy: what cognitive work are you doing?</w:t>
      </w:r>
    </w:p>
    <w:p>
      <w:pPr>
        <w:spacing w:after="160"/>
      </w:pPr>
      <w:r>
        <w:rPr>
          <w:rFonts w:ascii="Georgia" w:cs="Georgia" w:eastAsia="Georgia" w:hAnsi="Georgia"/>
          <w:sz w:val="22"/>
          <w:szCs w:val="22"/>
        </w:rPr>
        <w:t xml:space="preserve">Benjamin Bloom's taxonomy classifies cognitive activity from simple to complex. Most AI use sits at the lower levels: retrieving information, requesting summaries, generating content to a brief. Higher-order use involves analysis, evaluation, and original synthesis. These are not harder to do with AI, but they require a different kind of deliberate intent from the person using it.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7360"/>
      </w:tblGrid>
      <w:tr>
        <w:trPr>
          <w:tblHeader/>
        </w:trPr>
        <w:tc>
          <w:tcPr>
            <w:tcW w:type="dxa" w:w="2000"/>
            <w:tcBorders>
              <w:top w:val="single" w:color="CCCCCC" w:sz="1"/>
              <w:left w:val="single" w:color="CCCCCC" w:sz="1"/>
              <w:bottom w:val="single" w:color="CCCCCC" w:sz="1"/>
              <w:right w:val="single" w:color="CCCCCC" w:sz="1"/>
            </w:tcBorders>
            <w:shd w:fill="1A3A5C" w:val="clear"/>
            <w:tcMar>
              <w:top w:type="dxa" w:w="80"/>
              <w:left w:type="dxa" w:w="120"/>
              <w:bottom w:type="dxa" w:w="80"/>
              <w:right w:type="dxa" w:w="120"/>
            </w:tcMar>
          </w:tcPr>
          <w:p>
            <w:r>
              <w:rPr>
                <w:rFonts w:ascii="Arial" w:cs="Arial" w:eastAsia="Arial" w:hAnsi="Arial"/>
                <w:b/>
                <w:bCs/>
                <w:color w:val="FFFFFF"/>
                <w:sz w:val="20"/>
                <w:szCs w:val="20"/>
              </w:rPr>
              <w:t xml:space="preserve">Level</w:t>
            </w:r>
          </w:p>
        </w:tc>
        <w:tc>
          <w:tcPr>
            <w:tcW w:type="dxa" w:w="7360"/>
            <w:tcBorders>
              <w:top w:val="single" w:color="CCCCCC" w:sz="1"/>
              <w:left w:val="single" w:color="CCCCCC" w:sz="1"/>
              <w:bottom w:val="single" w:color="CCCCCC" w:sz="1"/>
              <w:right w:val="single" w:color="CCCCCC" w:sz="1"/>
            </w:tcBorders>
            <w:shd w:fill="1A3A5C" w:val="clear"/>
            <w:tcMar>
              <w:top w:type="dxa" w:w="80"/>
              <w:left w:type="dxa" w:w="120"/>
              <w:bottom w:type="dxa" w:w="80"/>
              <w:right w:type="dxa" w:w="120"/>
            </w:tcMar>
          </w:tcPr>
          <w:p>
            <w:r>
              <w:rPr>
                <w:rFonts w:ascii="Arial" w:cs="Arial" w:eastAsia="Arial" w:hAnsi="Arial"/>
                <w:b/>
                <w:bCs/>
                <w:color w:val="FFFFFF"/>
                <w:sz w:val="20"/>
                <w:szCs w:val="20"/>
              </w:rPr>
              <w:t xml:space="preserve">What it looks like in AI use</w:t>
            </w:r>
          </w:p>
        </w:tc>
      </w:tr>
      <w:tr>
        <w:tc>
          <w:tcPr>
            <w:tcW w:type="dxa" w:w="200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Remember</w:t>
            </w:r>
          </w:p>
        </w:tc>
        <w:tc>
          <w:tcPr>
            <w:tcW w:type="dxa" w:w="736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Asking for facts, definitions, or simple explanations</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Understand</w:t>
            </w:r>
          </w:p>
        </w:tc>
        <w:tc>
          <w:tcPr>
            <w:tcW w:type="dxa" w:w="7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Asking the AI to explain or clarify a concept</w:t>
            </w:r>
          </w:p>
        </w:tc>
      </w:tr>
      <w:tr>
        <w:tc>
          <w:tcPr>
            <w:tcW w:type="dxa" w:w="200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Apply</w:t>
            </w:r>
          </w:p>
        </w:tc>
        <w:tc>
          <w:tcPr>
            <w:tcW w:type="dxa" w:w="736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Using the AI to help with a specific practical task</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Analyse</w:t>
            </w:r>
          </w:p>
        </w:tc>
        <w:tc>
          <w:tcPr>
            <w:tcW w:type="dxa" w:w="7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Asking the AI to compare, contrast, or identify patterns</w:t>
            </w:r>
          </w:p>
        </w:tc>
      </w:tr>
      <w:tr>
        <w:tc>
          <w:tcPr>
            <w:tcW w:type="dxa" w:w="200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Evaluate</w:t>
            </w:r>
          </w:p>
        </w:tc>
        <w:tc>
          <w:tcPr>
            <w:tcW w:type="dxa" w:w="736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Asking the AI to critically assess quality, validity, or soundness</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Create</w:t>
            </w:r>
          </w:p>
        </w:tc>
        <w:tc>
          <w:tcPr>
            <w:tcW w:type="dxa" w:w="7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Using the AI to develop original frameworks, approaches, or synthesis</w:t>
            </w:r>
          </w:p>
        </w:tc>
      </w:tr>
    </w:tbl>
    <w:p>
      <w:pPr>
        <w:spacing w:after="200"/>
      </w:pPr>
    </w:p>
    <w:p>
      <w:pPr>
        <w:pStyle w:val="Heading2"/>
        <w:spacing w:after="120" w:before="320"/>
      </w:pPr>
      <w:r>
        <w:rPr>
          <w:rFonts w:ascii="Arial" w:cs="Arial" w:eastAsia="Arial" w:hAnsi="Arial"/>
          <w:b/>
          <w:bCs/>
          <w:color w:val="1A3A5C"/>
          <w:sz w:val="26"/>
          <w:szCs w:val="26"/>
        </w:rPr>
        <w:t xml:space="preserve">Perry's Scheme: how critically do you evaluate what the AI tells you?</w:t>
      </w:r>
    </w:p>
    <w:p>
      <w:pPr>
        <w:spacing w:after="160"/>
      </w:pPr>
      <w:r>
        <w:rPr>
          <w:rFonts w:ascii="Georgia" w:cs="Georgia" w:eastAsia="Georgia" w:hAnsi="Georgia"/>
          <w:sz w:val="22"/>
          <w:szCs w:val="22"/>
        </w:rPr>
        <w:t xml:space="preserve">William Perry mapped intellectual development from uncritical acceptance of authority through to informed judgement within acknowledged uncertainty. Applied to AI use, it reveals an individual's vulnerability to confident-sounding responses that are plausible but unsupported.</w:t>
      </w:r>
    </w:p>
    <w:p>
      <w:pPr>
        <w:spacing w:after="160"/>
      </w:pPr>
      <w:r>
        <w:rPr>
          <w:rFonts w:ascii="Georgia" w:cs="Georgia" w:eastAsia="Georgia" w:hAnsi="Georgia"/>
          <w:sz w:val="22"/>
          <w:szCs w:val="22"/>
        </w:rPr>
        <w:t xml:space="preserve">Most AI users, including experienced ones, operate somewhere in the dualism-multiplicity range: accepting AI responses as broadly authoritative, or recognising that different tools give different answers without having a framework for judging which is more credible. The minority operating at the relativism and commitment stages can harness what AI offers while remaining clear-eyed about its limits.</w:t>
      </w:r>
    </w:p>
    <w:p>
      <w:pPr>
        <w:pStyle w:val="Heading2"/>
        <w:spacing w:after="120" w:before="320"/>
      </w:pPr>
      <w:r>
        <w:rPr>
          <w:rFonts w:ascii="Arial" w:cs="Arial" w:eastAsia="Arial" w:hAnsi="Arial"/>
          <w:b/>
          <w:bCs/>
          <w:color w:val="1A3A5C"/>
          <w:sz w:val="26"/>
          <w:szCs w:val="26"/>
        </w:rPr>
        <w:t xml:space="preserve">SOLO Taxonomy: how coherently do you structure your thinking?</w:t>
      </w:r>
    </w:p>
    <w:p>
      <w:pPr>
        <w:spacing w:after="160"/>
      </w:pPr>
      <w:r>
        <w:rPr>
          <w:rFonts w:ascii="Georgia" w:cs="Georgia" w:eastAsia="Georgia" w:hAnsi="Georgia"/>
          <w:sz w:val="22"/>
          <w:szCs w:val="22"/>
        </w:rPr>
        <w:t xml:space="preserve">The SOLO taxonomy, developed by Biggs and Collis, assesses the structural quality of understanding. Applied to AI use, it reveals whether conversations build coherent understanding or remain a series of disconnected queries.</w:t>
      </w:r>
    </w:p>
    <w:p>
      <w:pPr>
        <w:spacing w:after="160"/>
      </w:pPr>
      <w:r>
        <w:rPr>
          <w:rFonts w:ascii="Georgia" w:cs="Georgia" w:eastAsia="Georgia" w:hAnsi="Georgia"/>
          <w:sz w:val="22"/>
          <w:szCs w:val="22"/>
        </w:rPr>
        <w:t xml:space="preserve">Most AI use operates at the unistructural or multistructural level: information is gathered in isolated queries or accumulated in parallel, but not integrated into a coherent picture. Operating at the relational or extended abstract level means using AI to build understanding systematically across multiple phases, connecting new information to existing frameworks and generating insights that go beyond the immediate question.</w:t>
      </w:r>
    </w:p>
    <w:p>
      <w:pPr>
        <w:pStyle w:val="Heading2"/>
        <w:spacing w:after="120" w:before="320"/>
      </w:pPr>
      <w:r>
        <w:rPr>
          <w:rFonts w:ascii="Arial" w:cs="Arial" w:eastAsia="Arial" w:hAnsi="Arial"/>
          <w:b/>
          <w:bCs/>
          <w:color w:val="1A3A5C"/>
          <w:sz w:val="26"/>
          <w:szCs w:val="26"/>
        </w:rPr>
        <w:t xml:space="preserve">What the combination reveals</w:t>
      </w:r>
    </w:p>
    <w:p>
      <w:pPr>
        <w:spacing w:after="160"/>
      </w:pPr>
      <w:r>
        <w:rPr>
          <w:rFonts w:ascii="Georgia" w:cs="Georgia" w:eastAsia="Georgia" w:hAnsi="Georgia"/>
          <w:sz w:val="22"/>
          <w:szCs w:val="22"/>
        </w:rPr>
        <w:t xml:space="preserve">The three frameworks are not independent measures. They interact, and the interaction is what reveals the development priority.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100"/>
        <w:gridCol w:w="2100"/>
        <w:gridCol w:w="5160"/>
      </w:tblGrid>
      <w:tr>
        <w:trPr>
          <w:tblHeader/>
        </w:trPr>
        <w:tc>
          <w:tcPr>
            <w:tcW w:type="dxa" w:w="2100"/>
            <w:tcBorders>
              <w:top w:val="single" w:color="CCCCCC" w:sz="1"/>
              <w:left w:val="single" w:color="CCCCCC" w:sz="1"/>
              <w:bottom w:val="single" w:color="CCCCCC" w:sz="1"/>
              <w:right w:val="single" w:color="CCCCCC" w:sz="1"/>
            </w:tcBorders>
            <w:shd w:fill="1A3A5C" w:val="clear"/>
            <w:tcMar>
              <w:top w:type="dxa" w:w="80"/>
              <w:left w:type="dxa" w:w="120"/>
              <w:bottom w:type="dxa" w:w="80"/>
              <w:right w:type="dxa" w:w="120"/>
            </w:tcMar>
          </w:tcPr>
          <w:p>
            <w:r>
              <w:rPr>
                <w:rFonts w:ascii="Arial" w:cs="Arial" w:eastAsia="Arial" w:hAnsi="Arial"/>
                <w:b/>
                <w:bCs/>
                <w:color w:val="FFFFFF"/>
                <w:sz w:val="20"/>
                <w:szCs w:val="20"/>
              </w:rPr>
              <w:t xml:space="preserve">Strong in</w:t>
            </w:r>
          </w:p>
        </w:tc>
        <w:tc>
          <w:tcPr>
            <w:tcW w:type="dxa" w:w="2100"/>
            <w:tcBorders>
              <w:top w:val="single" w:color="CCCCCC" w:sz="1"/>
              <w:left w:val="single" w:color="CCCCCC" w:sz="1"/>
              <w:bottom w:val="single" w:color="CCCCCC" w:sz="1"/>
              <w:right w:val="single" w:color="CCCCCC" w:sz="1"/>
            </w:tcBorders>
            <w:shd w:fill="1A3A5C" w:val="clear"/>
            <w:tcMar>
              <w:top w:type="dxa" w:w="80"/>
              <w:left w:type="dxa" w:w="120"/>
              <w:bottom w:type="dxa" w:w="80"/>
              <w:right w:type="dxa" w:w="120"/>
            </w:tcMar>
          </w:tcPr>
          <w:p>
            <w:r>
              <w:rPr>
                <w:rFonts w:ascii="Arial" w:cs="Arial" w:eastAsia="Arial" w:hAnsi="Arial"/>
                <w:b/>
                <w:bCs/>
                <w:color w:val="FFFFFF"/>
                <w:sz w:val="20"/>
                <w:szCs w:val="20"/>
              </w:rPr>
              <w:t xml:space="preserve">Weak in</w:t>
            </w:r>
          </w:p>
        </w:tc>
        <w:tc>
          <w:tcPr>
            <w:tcW w:type="dxa" w:w="5160"/>
            <w:tcBorders>
              <w:top w:val="single" w:color="CCCCCC" w:sz="1"/>
              <w:left w:val="single" w:color="CCCCCC" w:sz="1"/>
              <w:bottom w:val="single" w:color="CCCCCC" w:sz="1"/>
              <w:right w:val="single" w:color="CCCCCC" w:sz="1"/>
            </w:tcBorders>
            <w:shd w:fill="1A3A5C" w:val="clear"/>
            <w:tcMar>
              <w:top w:type="dxa" w:w="80"/>
              <w:left w:type="dxa" w:w="120"/>
              <w:bottom w:type="dxa" w:w="80"/>
              <w:right w:type="dxa" w:w="120"/>
            </w:tcMar>
          </w:tcPr>
          <w:p>
            <w:r>
              <w:rPr>
                <w:rFonts w:ascii="Arial" w:cs="Arial" w:eastAsia="Arial" w:hAnsi="Arial"/>
                <w:b/>
                <w:bCs/>
                <w:color w:val="FFFFFF"/>
                <w:sz w:val="20"/>
                <w:szCs w:val="20"/>
              </w:rPr>
              <w:t xml:space="preserve">The consequence</w:t>
            </w:r>
          </w:p>
        </w:tc>
      </w:tr>
      <w:tr>
        <w:tc>
          <w:tcPr>
            <w:tcW w:type="dxa" w:w="210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Bloom (complex thinking)</w:t>
            </w:r>
          </w:p>
        </w:tc>
        <w:tc>
          <w:tcPr>
            <w:tcW w:type="dxa" w:w="210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Perry (critical evaluation)</w:t>
            </w:r>
          </w:p>
        </w:tc>
        <w:tc>
          <w:tcPr>
            <w:tcW w:type="dxa" w:w="516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Sophisticated questions, uncritical acceptance of responses. Sounds impressive, may be wrong.</w:t>
            </w:r>
          </w:p>
        </w:tc>
      </w:tr>
      <w:tr>
        <w:tc>
          <w:tcPr>
            <w:tcW w:type="dxa" w:w="2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Bloom (complex thinking)</w:t>
            </w:r>
          </w:p>
        </w:tc>
        <w:tc>
          <w:tcPr>
            <w:tcW w:type="dxa" w:w="2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SOLO (coherent structure)</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High-quality individual exchanges that do not build toward anything cumulative.</w:t>
            </w:r>
          </w:p>
        </w:tc>
      </w:tr>
      <w:tr>
        <w:tc>
          <w:tcPr>
            <w:tcW w:type="dxa" w:w="210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Perry (critical evaluation)</w:t>
            </w:r>
          </w:p>
        </w:tc>
        <w:tc>
          <w:tcPr>
            <w:tcW w:type="dxa" w:w="210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Bloom (cognitive complexity)</w:t>
            </w:r>
          </w:p>
        </w:tc>
        <w:tc>
          <w:tcPr>
            <w:tcW w:type="dxa" w:w="5160"/>
            <w:tcBorders>
              <w:top w:val="single" w:color="CCCCCC" w:sz="1"/>
              <w:left w:val="single" w:color="CCCCCC" w:sz="1"/>
              <w:bottom w:val="single" w:color="CCCCCC" w:sz="1"/>
              <w:right w:val="single" w:color="CCCCCC" w:sz="1"/>
            </w:tcBorders>
            <w:shd w:fill="F5F8FC" w:val="clear"/>
            <w:tcMar>
              <w:top w:type="dxa" w:w="80"/>
              <w:left w:type="dxa" w:w="120"/>
              <w:bottom w:type="dxa" w:w="80"/>
              <w:right w:type="dxa" w:w="120"/>
            </w:tcMar>
          </w:tcPr>
          <w:p>
            <w:r>
              <w:rPr>
                <w:rFonts w:ascii="Georgia" w:cs="Georgia" w:eastAsia="Georgia" w:hAnsi="Georgia"/>
                <w:sz w:val="20"/>
                <w:szCs w:val="20"/>
              </w:rPr>
              <w:t xml:space="preserve">Good judgement applied to low-stakes tasks. Underutilised.</w:t>
            </w:r>
          </w:p>
        </w:tc>
      </w:tr>
      <w:tr>
        <w:tc>
          <w:tcPr>
            <w:tcW w:type="dxa" w:w="2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SOLO (structured approach)</w:t>
            </w:r>
          </w:p>
        </w:tc>
        <w:tc>
          <w:tcPr>
            <w:tcW w:type="dxa" w:w="21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Perry (critical evaluation)</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Georgia" w:cs="Georgia" w:eastAsia="Georgia" w:hAnsi="Georgia"/>
                <w:sz w:val="20"/>
                <w:szCs w:val="20"/>
              </w:rPr>
              <w:t xml:space="preserve">Well-organised engagement with epistemologically naive acceptance of what comes back.</w:t>
            </w:r>
          </w:p>
        </w:tc>
      </w:tr>
    </w:tbl>
    <w:p>
      <w:pPr>
        <w:spacing w:after="200"/>
      </w:pPr>
    </w:p>
    <w:p>
      <w:pPr>
        <w:spacing w:after="160"/>
      </w:pPr>
      <w:r>
        <w:rPr>
          <w:rFonts w:ascii="Georgia" w:cs="Georgia" w:eastAsia="Georgia" w:hAnsi="Georgia"/>
          <w:sz w:val="22"/>
          <w:szCs w:val="22"/>
        </w:rPr>
        <w:t xml:space="preserve">The integrated picture tells you which dimension most limits your effectiveness, and therefore where to direct development effort.</w:t>
      </w:r>
    </w:p>
    <w:p>
      <w:pPr>
        <w:pBdr>
          <w:bottom w:val="single" w:color="CCCCCC" w:sz="4" w:space="1"/>
        </w:pBdr>
        <w:spacing w:after="240" w:before="240"/>
      </w:pPr>
    </w:p>
    <w:p>
      <w:pPr>
        <w:pStyle w:val="Heading1"/>
        <w:spacing w:after="160" w:before="480"/>
      </w:pPr>
      <w:r>
        <w:rPr>
          <w:rFonts w:ascii="Arial" w:cs="Arial" w:eastAsia="Arial" w:hAnsi="Arial"/>
          <w:b/>
          <w:bCs/>
          <w:color w:val="1A3A5C"/>
          <w:sz w:val="32"/>
          <w:szCs w:val="32"/>
        </w:rPr>
        <w:t xml:space="preserve">Taking it further</w:t>
      </w:r>
    </w:p>
    <w:p>
      <w:pPr>
        <w:spacing w:after="160"/>
      </w:pPr>
      <w:r>
        <w:rPr>
          <w:rFonts w:ascii="Georgia" w:cs="Georgia" w:eastAsia="Georgia" w:hAnsi="Georgia"/>
          <w:sz w:val="22"/>
          <w:szCs w:val="22"/>
        </w:rPr>
        <w:t xml:space="preserve">These frameworks are the foundation of a structured approach to AI quality evaluation developed through applied research and professional practice. If you want to explore how this applies to your own AI engagement, or how it can be used to support professional development across a team, the full suite of tools and frameworks is available at dynes-insights.com.</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4" w:space="4"/>
      </w:pBdr>
      <w:tabs>
        <w:tab w:val="right" w:pos="9356"/>
      </w:tabs>
      <w:spacing w:before="200"/>
    </w:pPr>
    <w:r>
      <w:rPr>
        <w:rFonts w:ascii="Arial" w:cs="Arial" w:eastAsia="Arial" w:hAnsi="Arial"/>
        <w:color w:val="888888"/>
        <w:sz w:val="18"/>
        <w:szCs w:val="18"/>
      </w:rPr>
      <w:t xml:space="preserve">dynes-insights.com</w:t>
    </w:r>
    <w:r>
      <w:tab/>
    </w:r>
    <w:r>
      <w:rPr>
        <w:rFonts w:ascii="Arial" w:cs="Arial" w:eastAsia="Arial" w:hAnsi="Arial"/>
        <w:color w:val="888888"/>
        <w:sz w:val="18"/>
        <w:szCs w:val="18"/>
      </w:rPr>
      <w:t xml:space="preserve">Page </w:t>
    </w:r>
    <w:fldSimple w:instr="[object Objec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A3A5C" w:sz="4" w:space="4"/>
      </w:pBdr>
      <w:tabs>
        <w:tab w:val="right" w:pos="9356"/>
      </w:tabs>
      <w:spacing w:after="200"/>
    </w:pPr>
    <w:r>
      <w:rPr>
        <w:rFonts w:ascii="Arial" w:cs="Arial" w:eastAsia="Arial" w:hAnsi="Arial"/>
        <w:color w:val="1A3A5C"/>
        <w:sz w:val="18"/>
        <w:szCs w:val="18"/>
      </w:rPr>
      <w:t xml:space="preserve">Using AI to Better Effect</w:t>
    </w:r>
    <w:r>
      <w:tab/>
    </w:r>
    <w:r>
      <w:rPr>
        <w:rFonts w:ascii="Arial" w:cs="Arial" w:eastAsia="Arial" w:hAnsi="Arial"/>
        <w:color w:val="888888"/>
        <w:sz w:val="18"/>
        <w:szCs w:val="18"/>
      </w:rPr>
      <w:t xml:space="preserve">Dynes Insights  |  dynes-insights.com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spacing w:after="100"/>
        <w:ind w:left="720" w:hanging="360"/>
      </w:pPr>
    </w:lvl>
  </w:abstractNum>
  <w:abstractNum w:abstractNumId="3" w15:restartNumberingAfterBreak="0">
    <w:multiLevelType w:val="hybridMultilevel"/>
    <w:lvl w:ilvl="0" w15:tentative="1">
      <w:start w:val="1"/>
      <w:numFmt w:val="decimal"/>
      <w:lvlText w:val="%1."/>
      <w:lvlJc w:val="left"/>
      <w:pPr>
        <w:spacing w:after="100"/>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480"/>
      <w:outlineLvl w:val="0"/>
    </w:pPr>
    <w:rPr>
      <w:rFonts w:ascii="Arial" w:cs="Arial" w:eastAsia="Arial" w:hAnsi="Arial"/>
      <w:b/>
      <w:bCs/>
      <w:color w:val="1A3A5C"/>
      <w:sz w:val="32"/>
      <w:szCs w:val="32"/>
    </w:rPr>
  </w:style>
  <w:style w:type="paragraph" w:styleId="Heading2">
    <w:name w:val="Heading 2"/>
    <w:basedOn w:val="Normal"/>
    <w:next w:val="Normal"/>
    <w:qFormat/>
    <w:pPr>
      <w:spacing w:after="120" w:before="320"/>
      <w:outlineLvl w:val="1"/>
    </w:pPr>
    <w:rPr>
      <w:rFonts w:ascii="Arial" w:cs="Arial" w:eastAsia="Arial" w:hAnsi="Arial"/>
      <w:b/>
      <w:bCs/>
      <w:color w:val="1A3A5C"/>
      <w:sz w:val="26"/>
      <w:szCs w:val="26"/>
    </w:rPr>
  </w:style>
  <w:style w:type="paragraph" w:styleId="Heading3">
    <w:name w:val="Heading 3"/>
    <w:basedOn w:val="Normal"/>
    <w:next w:val="Normal"/>
    <w:qFormat/>
    <w:pPr>
      <w:spacing w:after="100" w:before="240"/>
      <w:outlineLvl w:val="2"/>
    </w:pPr>
    <w:rPr>
      <w:rFonts w:ascii="Arial" w:cs="Arial" w:eastAsia="Arial" w:hAnsi="Arial"/>
      <w:b/>
      <w:bCs/>
      <w:color w:val="2E6DA4"/>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2026-04-06T16:36:35.502Z</dcterms:created>
  <dcterms:modified xsi:type="dcterms:W3CDTF">2026-04-06T16:36:35.503Z</dcterms:modified>
</cp:coreProperties>
</file>

<file path=docProps/custom.xml><?xml version="1.0" encoding="utf-8"?>
<Properties xmlns="http://schemas.openxmlformats.org/officeDocument/2006/custom-properties" xmlns:vt="http://schemas.openxmlformats.org/officeDocument/2006/docPropsVTypes"/>
</file>